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1D2FB" w:themeColor="accent1" w:themeTint="33"/>
  <w:body>
    <w:p w:rsidR="00982B0D" w:rsidRPr="00396CAC" w:rsidRDefault="00DA24D1" w:rsidP="00DA24D1">
      <w:pPr>
        <w:pStyle w:val="Cartable"/>
        <w:jc w:val="center"/>
        <w:rPr>
          <w:b/>
          <w:sz w:val="28"/>
          <w:szCs w:val="28"/>
          <w:lang w:val="fr-CA"/>
        </w:rPr>
      </w:pPr>
      <w:r w:rsidRPr="00396CAC">
        <w:rPr>
          <w:b/>
          <w:sz w:val="28"/>
          <w:szCs w:val="28"/>
          <w:lang w:val="fr-CA"/>
        </w:rPr>
        <w:t>Le dossier d’apprentissage et d’évaluation</w:t>
      </w:r>
    </w:p>
    <w:p w:rsidR="00DA24D1" w:rsidRDefault="005A0D97" w:rsidP="00DA24D1">
      <w:pPr>
        <w:pStyle w:val="Cartable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</w:t>
      </w:r>
      <w:r w:rsidR="00DA24D1" w:rsidRPr="00DA24D1">
        <w:rPr>
          <w:sz w:val="24"/>
          <w:szCs w:val="24"/>
          <w:lang w:val="fr-CA"/>
        </w:rPr>
        <w:t>e dossier d’apprentissage et d’évaluation</w:t>
      </w:r>
      <w:r w:rsidR="00DA24D1">
        <w:rPr>
          <w:sz w:val="24"/>
          <w:szCs w:val="24"/>
          <w:lang w:val="fr-CA"/>
        </w:rPr>
        <w:t xml:space="preserve"> (DAÉ)</w:t>
      </w:r>
      <w:r w:rsidR="00DA24D1" w:rsidRPr="00DA24D1">
        <w:rPr>
          <w:sz w:val="24"/>
          <w:szCs w:val="24"/>
          <w:lang w:val="fr-CA"/>
        </w:rPr>
        <w:t xml:space="preserve"> </w:t>
      </w:r>
      <w:r>
        <w:rPr>
          <w:sz w:val="24"/>
          <w:szCs w:val="24"/>
          <w:lang w:val="fr-CA"/>
        </w:rPr>
        <w:t xml:space="preserve">sert à compiler les différentes preuves d’apprentissage des élèves. </w:t>
      </w:r>
      <w:r w:rsidR="00DA24D1">
        <w:rPr>
          <w:sz w:val="24"/>
          <w:szCs w:val="24"/>
          <w:lang w:val="fr-CA"/>
        </w:rPr>
        <w:t xml:space="preserve">Pour ce faire, vous pouvez utiliser une copie par élève (format papier ou électronique). Les traces conservées dans le DAÉ </w:t>
      </w:r>
      <w:r w:rsidR="00120D11">
        <w:rPr>
          <w:sz w:val="24"/>
          <w:szCs w:val="24"/>
          <w:lang w:val="fr-CA"/>
        </w:rPr>
        <w:t>vous permettront</w:t>
      </w:r>
      <w:r w:rsidR="00DA24D1">
        <w:rPr>
          <w:sz w:val="24"/>
          <w:szCs w:val="24"/>
          <w:lang w:val="fr-CA"/>
        </w:rPr>
        <w:t xml:space="preserve"> plus facilement de porter un jugement sur le développement des compétences à chacune des étapes ainsi qu’à la fin de l’année scolaire.</w:t>
      </w:r>
    </w:p>
    <w:p w:rsidR="00DA24D1" w:rsidRDefault="00DA24D1" w:rsidP="00DA24D1">
      <w:pPr>
        <w:pStyle w:val="Cartable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Nous vous rappelons l’importance de varier les types de traces recueillies en mathématique (situations problèmes, situations d’application, tests de connaissances, causeries, math en 3 temps, petits problèmes…) et de tenir compte de la </w:t>
      </w:r>
      <w:hyperlink r:id="rId7" w:history="1">
        <w:r w:rsidRPr="00251F54">
          <w:rPr>
            <w:rStyle w:val="Lienhypertexte"/>
            <w:sz w:val="24"/>
            <w:szCs w:val="24"/>
            <w:lang w:val="fr-CA"/>
          </w:rPr>
          <w:t>triangulation des traces</w:t>
        </w:r>
      </w:hyperlink>
      <w:r>
        <w:rPr>
          <w:sz w:val="24"/>
          <w:szCs w:val="24"/>
          <w:lang w:val="fr-CA"/>
        </w:rPr>
        <w:t xml:space="preserve"> afin de varier la manière dont ces traces sont recueillies (production, conversation, observation).</w:t>
      </w:r>
    </w:p>
    <w:p w:rsidR="00120D11" w:rsidRDefault="00DA24D1" w:rsidP="00DA24D1">
      <w:pPr>
        <w:pStyle w:val="Cartable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Au quotidien, il est souhaitable de corriger les situations-problèmes et les situations d’application à l’aide des grilles descriptives des compétences</w:t>
      </w:r>
      <w:r w:rsidR="00120D11">
        <w:rPr>
          <w:sz w:val="24"/>
          <w:szCs w:val="24"/>
          <w:lang w:val="fr-CA"/>
        </w:rPr>
        <w:t xml:space="preserve">. </w:t>
      </w:r>
      <w:r>
        <w:rPr>
          <w:sz w:val="24"/>
          <w:szCs w:val="24"/>
          <w:lang w:val="fr-CA"/>
        </w:rPr>
        <w:t>La correction par critère est souhaitée afin d’</w:t>
      </w:r>
      <w:r w:rsidR="00120D11">
        <w:rPr>
          <w:sz w:val="24"/>
          <w:szCs w:val="24"/>
          <w:lang w:val="fr-CA"/>
        </w:rPr>
        <w:t>établir</w:t>
      </w:r>
      <w:r>
        <w:rPr>
          <w:sz w:val="24"/>
          <w:szCs w:val="24"/>
          <w:lang w:val="fr-CA"/>
        </w:rPr>
        <w:t xml:space="preserve"> un portrait juste du développement de la compétence des élèves. Pour noter, il est possible de mettre, une cote (A, B, C…)</w:t>
      </w:r>
      <w:r w:rsidR="00120D11">
        <w:rPr>
          <w:sz w:val="24"/>
          <w:szCs w:val="24"/>
          <w:lang w:val="fr-CA"/>
        </w:rPr>
        <w:t xml:space="preserve">, une note </w:t>
      </w:r>
      <w:r>
        <w:rPr>
          <w:sz w:val="24"/>
          <w:szCs w:val="24"/>
          <w:lang w:val="fr-CA"/>
        </w:rPr>
        <w:t>ou même une couleur (rouge, jaune, vert) qui viendra indiquer le niveau de l’élève dans la tâ</w:t>
      </w:r>
      <w:r w:rsidR="00120D11">
        <w:rPr>
          <w:sz w:val="24"/>
          <w:szCs w:val="24"/>
          <w:lang w:val="fr-CA"/>
        </w:rPr>
        <w:t>che à l’aide d’une grille d’observation ou d’une grille d’évaluation. Avec les élèves plus vieux, il est aussi possible d’utiliser des grilles d’auto-évaluation.</w:t>
      </w:r>
    </w:p>
    <w:p w:rsidR="00DA24D1" w:rsidRPr="00DA24D1" w:rsidRDefault="00DA24D1" w:rsidP="00DA24D1">
      <w:pPr>
        <w:pStyle w:val="Cartable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Afin de vous aider à porter un jugement sur les compétences des élèves et de mettre la note au bulletin, il est souhaitable de consulter plusieurs outils afin </w:t>
      </w:r>
      <w:bookmarkStart w:id="0" w:name="_GoBack"/>
      <w:bookmarkEnd w:id="0"/>
      <w:r>
        <w:rPr>
          <w:sz w:val="24"/>
          <w:szCs w:val="24"/>
          <w:lang w:val="fr-CA"/>
        </w:rPr>
        <w:t xml:space="preserve">de forger notre jugement sur l’élève. Pour ce faire, il est possible d’utiliser </w:t>
      </w:r>
      <w:hyperlink r:id="rId8" w:history="1">
        <w:r w:rsidRPr="00251F54">
          <w:rPr>
            <w:rStyle w:val="Lienhypertexte"/>
            <w:sz w:val="24"/>
            <w:szCs w:val="24"/>
            <w:lang w:val="fr-CA"/>
          </w:rPr>
          <w:t>les éch</w:t>
        </w:r>
        <w:r w:rsidR="00120D11" w:rsidRPr="00251F54">
          <w:rPr>
            <w:rStyle w:val="Lienhypertexte"/>
            <w:sz w:val="24"/>
            <w:szCs w:val="24"/>
            <w:lang w:val="fr-CA"/>
          </w:rPr>
          <w:t>elles de niveau de compétences</w:t>
        </w:r>
      </w:hyperlink>
      <w:r w:rsidR="00120D11">
        <w:rPr>
          <w:sz w:val="24"/>
          <w:szCs w:val="24"/>
          <w:lang w:val="fr-CA"/>
        </w:rPr>
        <w:t xml:space="preserve"> et </w:t>
      </w:r>
      <w:hyperlink r:id="rId9" w:history="1">
        <w:r w:rsidR="00120D11" w:rsidRPr="00251F54">
          <w:rPr>
            <w:rStyle w:val="Lienhypertexte"/>
            <w:sz w:val="24"/>
            <w:szCs w:val="24"/>
            <w:lang w:val="fr-CA"/>
          </w:rPr>
          <w:t>les attentes de fin de cycle</w:t>
        </w:r>
      </w:hyperlink>
      <w:r w:rsidR="00120D11">
        <w:rPr>
          <w:sz w:val="24"/>
          <w:szCs w:val="24"/>
          <w:lang w:val="fr-CA"/>
        </w:rPr>
        <w:t xml:space="preserve"> dans le programme de formation de l’école québécoise. Pour les écoles qui en possède</w:t>
      </w:r>
      <w:r w:rsidR="00BB0FDD">
        <w:rPr>
          <w:sz w:val="24"/>
          <w:szCs w:val="24"/>
          <w:lang w:val="fr-CA"/>
        </w:rPr>
        <w:t>nt</w:t>
      </w:r>
      <w:r w:rsidR="00120D11">
        <w:rPr>
          <w:sz w:val="24"/>
          <w:szCs w:val="24"/>
          <w:lang w:val="fr-CA"/>
        </w:rPr>
        <w:t xml:space="preserve"> un, les enseignants peuvent alors faire correspondre leur jugement au barème de leur école. </w:t>
      </w:r>
    </w:p>
    <w:sectPr w:rsidR="00DA24D1" w:rsidRPr="00DA24D1" w:rsidSect="00396CAC">
      <w:footerReference w:type="default" r:id="rId10"/>
      <w:pgSz w:w="11906" w:h="16838"/>
      <w:pgMar w:top="1417" w:right="1417" w:bottom="1417" w:left="1417" w:header="709" w:footer="709" w:gutter="0"/>
      <w:pgBorders>
        <w:top w:val="single" w:sz="48" w:space="15" w:color="FFFFFF" w:shadow="1"/>
        <w:left w:val="single" w:sz="48" w:space="15" w:color="FFFFFF" w:shadow="1"/>
        <w:bottom w:val="single" w:sz="48" w:space="10" w:color="FFFFFF" w:shadow="1"/>
        <w:right w:val="single" w:sz="48" w:space="10" w:color="FFFFFF" w:shadow="1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59" w:rsidRDefault="00A61059" w:rsidP="00BB0FDD">
      <w:pPr>
        <w:spacing w:after="0" w:line="240" w:lineRule="auto"/>
      </w:pPr>
      <w:r>
        <w:separator/>
      </w:r>
    </w:p>
  </w:endnote>
  <w:endnote w:type="continuationSeparator" w:id="0">
    <w:p w:rsidR="00A61059" w:rsidRDefault="00A61059" w:rsidP="00B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D97" w:rsidRPr="005A0D97" w:rsidRDefault="005A0D97" w:rsidP="005A0D97">
    <w:pPr>
      <w:pStyle w:val="Pieddepage"/>
      <w:jc w:val="right"/>
      <w:rPr>
        <w:sz w:val="16"/>
        <w:szCs w:val="16"/>
      </w:rPr>
    </w:pPr>
    <w:r w:rsidRPr="005A0D97">
      <w:rPr>
        <w:sz w:val="16"/>
        <w:szCs w:val="16"/>
      </w:rPr>
      <w:t>Claudine Lajeunesse, conseillère pédagogique en mathématique au primaire, CSSDM, 2021</w:t>
    </w:r>
  </w:p>
  <w:p w:rsidR="005A0D97" w:rsidRDefault="005A0D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59" w:rsidRDefault="00A61059" w:rsidP="00BB0FDD">
      <w:pPr>
        <w:spacing w:after="0" w:line="240" w:lineRule="auto"/>
      </w:pPr>
      <w:r>
        <w:separator/>
      </w:r>
    </w:p>
  </w:footnote>
  <w:footnote w:type="continuationSeparator" w:id="0">
    <w:p w:rsidR="00A61059" w:rsidRDefault="00A61059" w:rsidP="00BB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1"/>
    <w:rsid w:val="00002084"/>
    <w:rsid w:val="00002212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20D11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46130"/>
    <w:rsid w:val="00251F54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96CAC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4F478E"/>
    <w:rsid w:val="00513519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A0D97"/>
    <w:rsid w:val="005C7FC2"/>
    <w:rsid w:val="00613ABB"/>
    <w:rsid w:val="0062153D"/>
    <w:rsid w:val="0062626B"/>
    <w:rsid w:val="00636FBC"/>
    <w:rsid w:val="00643F62"/>
    <w:rsid w:val="00645214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C5743"/>
    <w:rsid w:val="008D550D"/>
    <w:rsid w:val="008E0AAE"/>
    <w:rsid w:val="008E15FE"/>
    <w:rsid w:val="00915DD8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D0B3D"/>
    <w:rsid w:val="009F2151"/>
    <w:rsid w:val="009F3B42"/>
    <w:rsid w:val="00A3423C"/>
    <w:rsid w:val="00A54A51"/>
    <w:rsid w:val="00A604BB"/>
    <w:rsid w:val="00A61059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0FDD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A24D1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5F78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19DE-1186-4E05-AD03-DD672D97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96CA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6CA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6CA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6C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6C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6C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6C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6C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6CA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  <w:rsid w:val="0064521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645214"/>
  </w:style>
  <w:style w:type="table" w:styleId="Grilledutableau">
    <w:name w:val="Table Grid"/>
    <w:basedOn w:val="TableauNormal"/>
    <w:uiPriority w:val="59"/>
    <w:rsid w:val="0064521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4521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64521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64521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645214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0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FDD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0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FDD"/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251F54"/>
    <w:rPr>
      <w:color w:val="0D2E46" w:themeColor="hyperlink"/>
      <w:u w:val="single"/>
    </w:rPr>
  </w:style>
  <w:style w:type="paragraph" w:customStyle="1" w:styleId="commentcontentpara">
    <w:name w:val="commentcontentpara"/>
    <w:basedOn w:val="Normal"/>
    <w:rsid w:val="005A0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A" w:eastAsia="fr-CA"/>
    </w:rPr>
  </w:style>
  <w:style w:type="character" w:customStyle="1" w:styleId="Titre1Car">
    <w:name w:val="Titre 1 Car"/>
    <w:basedOn w:val="Policepardfaut"/>
    <w:link w:val="Titre1"/>
    <w:uiPriority w:val="9"/>
    <w:rsid w:val="00396CAC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6CA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6CAC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396CA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396CAC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396CA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396CA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96C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396CAC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96CA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96CAC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96CAC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6CAC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6CAC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396CAC"/>
    <w:rPr>
      <w:b/>
      <w:bCs/>
    </w:rPr>
  </w:style>
  <w:style w:type="character" w:styleId="Accentuation">
    <w:name w:val="Emphasis"/>
    <w:basedOn w:val="Policepardfaut"/>
    <w:uiPriority w:val="20"/>
    <w:qFormat/>
    <w:rsid w:val="00396CAC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396CA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96CAC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96CAC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6CAC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6CAC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396CAC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396CAC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396CA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96CAC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396CAC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96CA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references/tx-solrtyperecherchepublicationtx-solrpublicationnouveaute/resultats-de-la-recherche/detail/article/les-echelles-des-niveaux-de-competence-au-primaire/pubLang/0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assets.ctfassets.net/cfektv4t16rw/2AoL1ZM8Zs10V77zXcGeEQ/8ad8e0d4d374beaac0d654a797a54351/fascicule3-AOD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gouv.qc.ca/fileadmin/site_web/documents/education/jeunes/pfeq/PFEQ_mathematique-primaire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E7FC460CB946A98A1AA7CD6A3E94" ma:contentTypeVersion="8" ma:contentTypeDescription="Crée un document." ma:contentTypeScope="" ma:versionID="f55352dcba5c67bb3022701a9ee22beb">
  <xsd:schema xmlns:xsd="http://www.w3.org/2001/XMLSchema" xmlns:xs="http://www.w3.org/2001/XMLSchema" xmlns:p="http://schemas.microsoft.com/office/2006/metadata/properties" xmlns:ns2="524849ac-ebc0-4c8d-90d0-b358a5d03d55" xmlns:ns3="8487f306-73ba-40ca-95c8-374efe71185b" targetNamespace="http://schemas.microsoft.com/office/2006/metadata/properties" ma:root="true" ma:fieldsID="23a10ae6c2fc5422ea2d2997744adcc2" ns2:_="" ns3:_="">
    <xsd:import namespace="524849ac-ebc0-4c8d-90d0-b358a5d03d55"/>
    <xsd:import namespace="8487f306-73ba-40ca-95c8-374efe711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849ac-ebc0-4c8d-90d0-b358a5d03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f306-73ba-40ca-95c8-374efe71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33006-08E9-460E-A560-C080DF7E8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8AF8B-17F2-47D2-BB51-5CDA680A8EC4}"/>
</file>

<file path=customXml/itemProps3.xml><?xml version="1.0" encoding="utf-8"?>
<ds:datastoreItem xmlns:ds="http://schemas.openxmlformats.org/officeDocument/2006/customXml" ds:itemID="{11A36ABD-9A03-4963-B733-1D2F0643DB95}"/>
</file>

<file path=customXml/itemProps4.xml><?xml version="1.0" encoding="utf-8"?>
<ds:datastoreItem xmlns:ds="http://schemas.openxmlformats.org/officeDocument/2006/customXml" ds:itemID="{31F9CCC9-CDC1-438D-8902-563B9E89F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Lajeunesse Claudine</dc:creator>
  <cp:keywords/>
  <dc:description/>
  <cp:lastModifiedBy>Lajeunesse Claudine</cp:lastModifiedBy>
  <cp:revision>8</cp:revision>
  <dcterms:created xsi:type="dcterms:W3CDTF">2021-05-28T18:11:00Z</dcterms:created>
  <dcterms:modified xsi:type="dcterms:W3CDTF">2021-06-11T20:02:00Z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0x010100530CE7FC460CB946A98A1AA7CD6A3E94</vt:lpwstr>
  </property>
</Properties>
</file>